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7FEE" w14:textId="77777777" w:rsidR="000D7ED7" w:rsidRDefault="000D7ED7"/>
    <w:tbl>
      <w:tblPr>
        <w:tblStyle w:val="Tabellenraster"/>
        <w:tblpPr w:leftFromText="141" w:rightFromText="141" w:vertAnchor="text" w:horzAnchor="margin" w:tblpXSpec="center" w:tblpY="-606"/>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55" w:type="dxa"/>
        </w:tblCellMar>
        <w:tblLook w:val="04A0" w:firstRow="1" w:lastRow="0" w:firstColumn="1" w:lastColumn="0" w:noHBand="0" w:noVBand="1"/>
      </w:tblPr>
      <w:tblGrid>
        <w:gridCol w:w="6351"/>
        <w:gridCol w:w="3184"/>
      </w:tblGrid>
      <w:tr w:rsidR="000D7ED7" w14:paraId="41464AE1" w14:textId="77777777">
        <w:trPr>
          <w:trHeight w:val="2154"/>
        </w:trPr>
        <w:tc>
          <w:tcPr>
            <w:tcW w:w="6351" w:type="dxa"/>
          </w:tcPr>
          <w:p w14:paraId="42DA7ACB" w14:textId="77777777" w:rsidR="000D7ED7" w:rsidRDefault="000D7ED7"/>
          <w:p w14:paraId="52A59377" w14:textId="77777777" w:rsidR="000D7ED7" w:rsidRDefault="000D7ED7">
            <w:pPr>
              <w:rPr>
                <w:rFonts w:ascii="Arial" w:hAnsi="Arial" w:cs="Arial"/>
              </w:rPr>
            </w:pPr>
          </w:p>
          <w:p w14:paraId="35170E47" w14:textId="77777777" w:rsidR="000D7ED7" w:rsidRDefault="000D7ED7">
            <w:pPr>
              <w:rPr>
                <w:rFonts w:ascii="Arial" w:hAnsi="Arial" w:cs="Arial"/>
              </w:rPr>
            </w:pPr>
          </w:p>
          <w:p w14:paraId="508B8FA9" w14:textId="77777777" w:rsidR="000D7ED7" w:rsidRDefault="00445CE2">
            <w:pPr>
              <w:rPr>
                <w:rFonts w:ascii="Arial" w:hAnsi="Arial" w:cs="Arial"/>
                <w:b/>
                <w:sz w:val="28"/>
              </w:rPr>
            </w:pPr>
            <w:r>
              <w:rPr>
                <w:rFonts w:ascii="Arial" w:hAnsi="Arial" w:cs="Arial"/>
                <w:b/>
                <w:sz w:val="28"/>
              </w:rPr>
              <w:t>Merkblatt</w:t>
            </w:r>
          </w:p>
          <w:p w14:paraId="15132661" w14:textId="77777777" w:rsidR="000D7ED7" w:rsidRDefault="000D7ED7">
            <w:pPr>
              <w:rPr>
                <w:rFonts w:ascii="Arial" w:hAnsi="Arial" w:cs="Arial"/>
                <w:b/>
                <w:sz w:val="28"/>
              </w:rPr>
            </w:pPr>
          </w:p>
          <w:p w14:paraId="20A16D67" w14:textId="598A126B" w:rsidR="000D7ED7" w:rsidRDefault="00445CE2" w:rsidP="00445CE2">
            <w:r w:rsidRPr="00445CE2">
              <w:rPr>
                <w:rFonts w:ascii="Arial" w:hAnsi="Arial" w:cs="Arial"/>
                <w:b/>
                <w:sz w:val="24"/>
              </w:rPr>
              <w:t>Schutz der Arbeitnehmer gem. Art. 9 Bayerisches Ladenschlussgesetz (</w:t>
            </w:r>
            <w:proofErr w:type="spellStart"/>
            <w:r w:rsidRPr="00445CE2">
              <w:rPr>
                <w:rFonts w:ascii="Arial" w:hAnsi="Arial" w:cs="Arial"/>
                <w:b/>
                <w:sz w:val="24"/>
              </w:rPr>
              <w:t>BayLadSchlG</w:t>
            </w:r>
            <w:proofErr w:type="spellEnd"/>
            <w:r w:rsidRPr="00445CE2">
              <w:rPr>
                <w:rFonts w:ascii="Arial" w:hAnsi="Arial" w:cs="Arial"/>
                <w:b/>
                <w:sz w:val="24"/>
              </w:rPr>
              <w:t>)</w:t>
            </w:r>
          </w:p>
        </w:tc>
        <w:tc>
          <w:tcPr>
            <w:tcW w:w="3184" w:type="dxa"/>
            <w:vAlign w:val="center"/>
          </w:tcPr>
          <w:p w14:paraId="6BEEBFF0" w14:textId="77777777" w:rsidR="000D7ED7" w:rsidRDefault="00445CE2">
            <w:pPr>
              <w:jc w:val="right"/>
            </w:pPr>
            <w:r>
              <w:rPr>
                <w:noProof/>
                <w:lang w:eastAsia="de-DE"/>
              </w:rPr>
              <w:t xml:space="preserve"> </w:t>
            </w:r>
            <w:r>
              <w:rPr>
                <w:noProof/>
                <w:lang w:eastAsia="de-DE"/>
              </w:rPr>
              <w:t xml:space="preserve">                          </w:t>
            </w:r>
            <w:r>
              <w:rPr>
                <w:noProof/>
                <w:lang w:eastAsia="de-DE"/>
              </w:rPr>
              <w:drawing>
                <wp:inline distT="0" distB="0" distL="0" distR="0" wp14:anchorId="78A5D82B" wp14:editId="0D62E542">
                  <wp:extent cx="2158365" cy="13354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8365" cy="1335405"/>
                          </a:xfrm>
                          <a:prstGeom prst="rect">
                            <a:avLst/>
                          </a:prstGeom>
                          <a:noFill/>
                        </pic:spPr>
                      </pic:pic>
                    </a:graphicData>
                  </a:graphic>
                </wp:inline>
              </w:drawing>
            </w:r>
            <w:r>
              <w:rPr>
                <w:noProof/>
                <w:lang w:eastAsia="de-DE"/>
              </w:rPr>
              <w:t xml:space="preserve">                    </w:t>
            </w:r>
          </w:p>
        </w:tc>
      </w:tr>
    </w:tbl>
    <w:p w14:paraId="4079BA06" w14:textId="77777777" w:rsidR="000D7ED7" w:rsidRDefault="000D7ED7">
      <w:pPr>
        <w:spacing w:after="0" w:line="240" w:lineRule="auto"/>
        <w:rPr>
          <w:rFonts w:ascii="Arial" w:eastAsia="Times New Roman" w:hAnsi="Arial" w:cs="Times New Roman"/>
          <w:sz w:val="24"/>
          <w:szCs w:val="24"/>
          <w:lang w:eastAsia="de-DE"/>
        </w:rPr>
      </w:pPr>
    </w:p>
    <w:p w14:paraId="086B31EF"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(1) </w:t>
      </w:r>
      <w:r w:rsidRPr="00445CE2">
        <w:rPr>
          <w:rFonts w:ascii="Arial" w:eastAsia="Times New Roman" w:hAnsi="Arial" w:cs="Arial"/>
          <w:color w:val="222222"/>
          <w:sz w:val="24"/>
          <w:szCs w:val="24"/>
          <w:vertAlign w:val="superscript"/>
          <w:lang w:eastAsia="de-DE"/>
        </w:rPr>
        <w:t>1</w:t>
      </w:r>
      <w:r w:rsidRPr="00445CE2">
        <w:rPr>
          <w:rFonts w:ascii="Arial" w:eastAsia="Times New Roman" w:hAnsi="Arial" w:cs="Arial"/>
          <w:color w:val="222222"/>
          <w:sz w:val="24"/>
          <w:szCs w:val="24"/>
          <w:lang w:eastAsia="de-DE"/>
        </w:rPr>
        <w:t xml:space="preserve">In Verkaufsstellen oder beim sonstigen Feilhalten nach Art. 2 Abs. 3 dürfen Arbeitnehmer an Sonn- und Feiertagen </w:t>
      </w:r>
      <w:proofErr w:type="gramStart"/>
      <w:r w:rsidRPr="00445CE2">
        <w:rPr>
          <w:rFonts w:ascii="Arial" w:eastAsia="Times New Roman" w:hAnsi="Arial" w:cs="Arial"/>
          <w:color w:val="222222"/>
          <w:sz w:val="24"/>
          <w:szCs w:val="24"/>
          <w:lang w:eastAsia="de-DE"/>
        </w:rPr>
        <w:t>nur</w:t>
      </w:r>
      <w:proofErr w:type="gramEnd"/>
      <w:r w:rsidRPr="00445CE2">
        <w:rPr>
          <w:rFonts w:ascii="Arial" w:eastAsia="Times New Roman" w:hAnsi="Arial" w:cs="Arial"/>
          <w:color w:val="222222"/>
          <w:sz w:val="24"/>
          <w:szCs w:val="24"/>
          <w:lang w:eastAsia="de-DE"/>
        </w:rPr>
        <w:t xml:space="preserve"> </w:t>
      </w:r>
      <w:proofErr w:type="gramStart"/>
      <w:r w:rsidRPr="00445CE2">
        <w:rPr>
          <w:rFonts w:ascii="Arial" w:eastAsia="Times New Roman" w:hAnsi="Arial" w:cs="Arial"/>
          <w:color w:val="222222"/>
          <w:sz w:val="24"/>
          <w:szCs w:val="24"/>
          <w:lang w:eastAsia="de-DE"/>
        </w:rPr>
        <w:t>während der ausnahmsweise zugelassenen Öffnungszeiten</w:t>
      </w:r>
      <w:proofErr w:type="gramEnd"/>
      <w:r w:rsidRPr="00445CE2">
        <w:rPr>
          <w:rFonts w:ascii="Arial" w:eastAsia="Times New Roman" w:hAnsi="Arial" w:cs="Arial"/>
          <w:color w:val="222222"/>
          <w:sz w:val="24"/>
          <w:szCs w:val="24"/>
          <w:lang w:eastAsia="de-DE"/>
        </w:rPr>
        <w:t xml:space="preserve"> und, falls dies zur Erledigung von Vorbereitungs- und Abschlussarbeiten unerlässlich ist, während insgesamt weiterer 30 Minuten beschäftigt werden. </w:t>
      </w:r>
      <w:r w:rsidRPr="00445CE2">
        <w:rPr>
          <w:rFonts w:ascii="Arial" w:eastAsia="Times New Roman" w:hAnsi="Arial" w:cs="Arial"/>
          <w:color w:val="222222"/>
          <w:sz w:val="24"/>
          <w:szCs w:val="24"/>
          <w:vertAlign w:val="superscript"/>
          <w:lang w:eastAsia="de-DE"/>
        </w:rPr>
        <w:t>2</w:t>
      </w:r>
      <w:r w:rsidRPr="00445CE2">
        <w:rPr>
          <w:rFonts w:ascii="Arial" w:eastAsia="Times New Roman" w:hAnsi="Arial" w:cs="Arial"/>
          <w:color w:val="222222"/>
          <w:sz w:val="24"/>
          <w:szCs w:val="24"/>
          <w:lang w:eastAsia="de-DE"/>
        </w:rPr>
        <w:t>Die Dauer der Arbeitszeit des einzelnen Arbeitnehmers darf an Sonn- und Feiertagen acht Stunden nicht überschreiten.</w:t>
      </w:r>
    </w:p>
    <w:p w14:paraId="13675786"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p>
    <w:p w14:paraId="7E955DE8"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(2) </w:t>
      </w:r>
      <w:r w:rsidRPr="00445CE2">
        <w:rPr>
          <w:rFonts w:ascii="Arial" w:eastAsia="Times New Roman" w:hAnsi="Arial" w:cs="Arial"/>
          <w:color w:val="222222"/>
          <w:sz w:val="24"/>
          <w:szCs w:val="24"/>
          <w:vertAlign w:val="superscript"/>
          <w:lang w:eastAsia="de-DE"/>
        </w:rPr>
        <w:t>1</w:t>
      </w:r>
      <w:r w:rsidRPr="00445CE2">
        <w:rPr>
          <w:rFonts w:ascii="Arial" w:eastAsia="Times New Roman" w:hAnsi="Arial" w:cs="Arial"/>
          <w:color w:val="222222"/>
          <w:sz w:val="24"/>
          <w:szCs w:val="24"/>
          <w:lang w:eastAsia="de-DE"/>
        </w:rPr>
        <w:t>Arbeitnehmer, die nach Abs. 1 an einem Sonn- oder Feiertag beschäftigt werden, sind in derselben Woche,</w:t>
      </w:r>
    </w:p>
    <w:p w14:paraId="43409042" w14:textId="77777777" w:rsidR="00445CE2" w:rsidRPr="00445CE2" w:rsidRDefault="00445CE2" w:rsidP="00445CE2">
      <w:pPr>
        <w:shd w:val="clear" w:color="auto" w:fill="FFFFFF"/>
        <w:spacing w:after="0" w:line="360" w:lineRule="auto"/>
        <w:ind w:left="750"/>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1. bei Beschäftigung von mehr als drei Stunden, an einem Werktag ab 13 Uhr,</w:t>
      </w:r>
    </w:p>
    <w:p w14:paraId="1EEAFAF0" w14:textId="77777777" w:rsidR="00445CE2" w:rsidRPr="00445CE2" w:rsidRDefault="00445CE2" w:rsidP="00445CE2">
      <w:pPr>
        <w:shd w:val="clear" w:color="auto" w:fill="FFFFFF"/>
        <w:spacing w:after="0" w:line="360" w:lineRule="auto"/>
        <w:ind w:left="708" w:firstLine="42"/>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2. bei Beschäftigung von mehr als sechs Stunden, an einem ganzen Werktag derselben Woche</w:t>
      </w:r>
    </w:p>
    <w:p w14:paraId="37A97D30"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von der Arbeit freizustellen; mindestens jeder dritte Sonntag muss beschäftigungsfrei bleiben. </w:t>
      </w:r>
      <w:r w:rsidRPr="00445CE2">
        <w:rPr>
          <w:rFonts w:ascii="Arial" w:eastAsia="Times New Roman" w:hAnsi="Arial" w:cs="Arial"/>
          <w:color w:val="222222"/>
          <w:sz w:val="24"/>
          <w:szCs w:val="24"/>
          <w:vertAlign w:val="superscript"/>
          <w:lang w:eastAsia="de-DE"/>
        </w:rPr>
        <w:t>2</w:t>
      </w:r>
      <w:r w:rsidRPr="00445CE2">
        <w:rPr>
          <w:rFonts w:ascii="Arial" w:eastAsia="Times New Roman" w:hAnsi="Arial" w:cs="Arial"/>
          <w:color w:val="222222"/>
          <w:sz w:val="24"/>
          <w:szCs w:val="24"/>
          <w:lang w:eastAsia="de-DE"/>
        </w:rPr>
        <w:t>Werden Arbeitnehmer nach Abs. 1 an einem Sonn- oder Feiertag bis zu drei Stunden beschäftigt, so muss jeder zweite Sonntag oder in jeder zweiten Woche ein Nachmittag ab 13 Uhr beschäftigungsfrei bleiben. </w:t>
      </w:r>
      <w:r w:rsidRPr="00445CE2">
        <w:rPr>
          <w:rFonts w:ascii="Arial" w:eastAsia="Times New Roman" w:hAnsi="Arial" w:cs="Arial"/>
          <w:color w:val="222222"/>
          <w:sz w:val="24"/>
          <w:szCs w:val="24"/>
          <w:vertAlign w:val="superscript"/>
          <w:lang w:eastAsia="de-DE"/>
        </w:rPr>
        <w:t>3</w:t>
      </w:r>
      <w:r w:rsidRPr="00445CE2">
        <w:rPr>
          <w:rFonts w:ascii="Arial" w:eastAsia="Times New Roman" w:hAnsi="Arial" w:cs="Arial"/>
          <w:color w:val="222222"/>
          <w:sz w:val="24"/>
          <w:szCs w:val="24"/>
          <w:lang w:eastAsia="de-DE"/>
        </w:rPr>
        <w:t>Statt an einem Nachmittag darf der Ausgleich am Samstag- oder Montagvormittag bis 14 Uhr gewährt werden. </w:t>
      </w:r>
      <w:r w:rsidRPr="00445CE2">
        <w:rPr>
          <w:rFonts w:ascii="Arial" w:eastAsia="Times New Roman" w:hAnsi="Arial" w:cs="Arial"/>
          <w:color w:val="222222"/>
          <w:sz w:val="24"/>
          <w:szCs w:val="24"/>
          <w:vertAlign w:val="superscript"/>
          <w:lang w:eastAsia="de-DE"/>
        </w:rPr>
        <w:t>4</w:t>
      </w:r>
      <w:r w:rsidRPr="00445CE2">
        <w:rPr>
          <w:rFonts w:ascii="Arial" w:eastAsia="Times New Roman" w:hAnsi="Arial" w:cs="Arial"/>
          <w:color w:val="222222"/>
          <w:sz w:val="24"/>
          <w:szCs w:val="24"/>
          <w:lang w:eastAsia="de-DE"/>
        </w:rPr>
        <w:t>Während der Zeiten, zu denen die Verkaufsstelle geschlossen sein muss, darf der Ausgleich nicht gewährt werden.</w:t>
      </w:r>
    </w:p>
    <w:p w14:paraId="7C347685"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p>
    <w:p w14:paraId="03B3D597"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(3) Arbeitnehmer in Verkaufsstellen können verlangen, in jedem Kalendermonat an einem Samstag von der Beschäftigung freigestellt zu werden.</w:t>
      </w:r>
    </w:p>
    <w:p w14:paraId="2515AC57"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p>
    <w:p w14:paraId="4B815F12"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(4) </w:t>
      </w:r>
      <w:r w:rsidRPr="00445CE2">
        <w:rPr>
          <w:rFonts w:ascii="Arial" w:eastAsia="Times New Roman" w:hAnsi="Arial" w:cs="Arial"/>
          <w:color w:val="222222"/>
          <w:sz w:val="24"/>
          <w:szCs w:val="24"/>
          <w:vertAlign w:val="superscript"/>
          <w:lang w:eastAsia="de-DE"/>
        </w:rPr>
        <w:t>1</w:t>
      </w:r>
      <w:r w:rsidRPr="00445CE2">
        <w:rPr>
          <w:rFonts w:ascii="Arial" w:eastAsia="Times New Roman" w:hAnsi="Arial" w:cs="Arial"/>
          <w:color w:val="222222"/>
          <w:sz w:val="24"/>
          <w:szCs w:val="24"/>
          <w:lang w:eastAsia="de-DE"/>
        </w:rPr>
        <w:t>Arbeitnehmer in Verkaufsstellen können verlangen, in jedem Kalendermonat nur an bis zu zwei verkaufsoffenen Nächten an Werktagen eingesetzt zu werden. </w:t>
      </w:r>
      <w:r w:rsidRPr="00445CE2">
        <w:rPr>
          <w:rFonts w:ascii="Arial" w:eastAsia="Times New Roman" w:hAnsi="Arial" w:cs="Arial"/>
          <w:color w:val="222222"/>
          <w:sz w:val="24"/>
          <w:szCs w:val="24"/>
          <w:vertAlign w:val="superscript"/>
          <w:lang w:eastAsia="de-DE"/>
        </w:rPr>
        <w:t>2</w:t>
      </w:r>
      <w:r w:rsidRPr="00445CE2">
        <w:rPr>
          <w:rFonts w:ascii="Arial" w:eastAsia="Times New Roman" w:hAnsi="Arial" w:cs="Arial"/>
          <w:color w:val="222222"/>
          <w:sz w:val="24"/>
          <w:szCs w:val="24"/>
          <w:lang w:eastAsia="de-DE"/>
        </w:rPr>
        <w:t xml:space="preserve">Arbeitnehmer, die mit einem Kind unter zwölf Jahren in einem Haushalt leben oder eine pflegebedürftige </w:t>
      </w:r>
      <w:proofErr w:type="spellStart"/>
      <w:r w:rsidRPr="00445CE2">
        <w:rPr>
          <w:rFonts w:ascii="Arial" w:eastAsia="Times New Roman" w:hAnsi="Arial" w:cs="Arial"/>
          <w:color w:val="222222"/>
          <w:sz w:val="24"/>
          <w:szCs w:val="24"/>
          <w:lang w:eastAsia="de-DE"/>
        </w:rPr>
        <w:t>angehörige</w:t>
      </w:r>
      <w:proofErr w:type="spellEnd"/>
      <w:r w:rsidRPr="00445CE2">
        <w:rPr>
          <w:rFonts w:ascii="Arial" w:eastAsia="Times New Roman" w:hAnsi="Arial" w:cs="Arial"/>
          <w:color w:val="222222"/>
          <w:sz w:val="24"/>
          <w:szCs w:val="24"/>
          <w:lang w:eastAsia="de-DE"/>
        </w:rPr>
        <w:t xml:space="preserve"> Person im Sinne des § 14 des Elften Buches Sozialgesetzbuch (SGB XI) versorgen, sind auf Verlangen von einer Beschäftigung an verkaufsoffenen Nächten an Werktagen freizustellen. </w:t>
      </w:r>
      <w:r w:rsidRPr="00445CE2">
        <w:rPr>
          <w:rFonts w:ascii="Arial" w:eastAsia="Times New Roman" w:hAnsi="Arial" w:cs="Arial"/>
          <w:color w:val="222222"/>
          <w:sz w:val="24"/>
          <w:szCs w:val="24"/>
          <w:vertAlign w:val="superscript"/>
          <w:lang w:eastAsia="de-DE"/>
        </w:rPr>
        <w:t>3</w:t>
      </w:r>
      <w:r w:rsidRPr="00445CE2">
        <w:rPr>
          <w:rFonts w:ascii="Arial" w:eastAsia="Times New Roman" w:hAnsi="Arial" w:cs="Arial"/>
          <w:color w:val="222222"/>
          <w:sz w:val="24"/>
          <w:szCs w:val="24"/>
          <w:lang w:eastAsia="de-DE"/>
        </w:rPr>
        <w:t xml:space="preserve">Dieser </w:t>
      </w:r>
      <w:r w:rsidRPr="00445CE2">
        <w:rPr>
          <w:rFonts w:ascii="Arial" w:eastAsia="Times New Roman" w:hAnsi="Arial" w:cs="Arial"/>
          <w:color w:val="222222"/>
          <w:sz w:val="24"/>
          <w:szCs w:val="24"/>
          <w:lang w:eastAsia="de-DE"/>
        </w:rPr>
        <w:lastRenderedPageBreak/>
        <w:t>Anspruch besteht nicht, soweit die Betreuung durch eine andere im Haushalt lebende Person gewährleistet ist.</w:t>
      </w:r>
    </w:p>
    <w:p w14:paraId="3D290ABC"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(5) </w:t>
      </w:r>
      <w:r w:rsidRPr="00445CE2">
        <w:rPr>
          <w:rFonts w:ascii="Arial" w:eastAsia="Times New Roman" w:hAnsi="Arial" w:cs="Arial"/>
          <w:color w:val="222222"/>
          <w:sz w:val="24"/>
          <w:szCs w:val="24"/>
          <w:vertAlign w:val="superscript"/>
          <w:lang w:eastAsia="de-DE"/>
        </w:rPr>
        <w:t>1</w:t>
      </w:r>
      <w:r w:rsidRPr="00445CE2">
        <w:rPr>
          <w:rFonts w:ascii="Arial" w:eastAsia="Times New Roman" w:hAnsi="Arial" w:cs="Arial"/>
          <w:color w:val="222222"/>
          <w:sz w:val="24"/>
          <w:szCs w:val="24"/>
          <w:lang w:eastAsia="de-DE"/>
        </w:rPr>
        <w:t>In den allgemeinen Ladenschlusszeiten dürfen Arbeitnehmer nicht</w:t>
      </w:r>
    </w:p>
    <w:p w14:paraId="6A8D95ED" w14:textId="77777777" w:rsidR="00445CE2" w:rsidRPr="00445CE2" w:rsidRDefault="00445CE2" w:rsidP="00445CE2">
      <w:pPr>
        <w:shd w:val="clear" w:color="auto" w:fill="FFFFFF"/>
        <w:spacing w:after="0" w:line="360" w:lineRule="auto"/>
        <w:ind w:left="750"/>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1. zur Wartung und zum Befüllen von Warenautomaten, die in räumlichem Zusammenhang zu einer Verkaufsstelle stehen, und</w:t>
      </w:r>
    </w:p>
    <w:p w14:paraId="54BD97D0" w14:textId="77777777" w:rsidR="00445CE2" w:rsidRPr="00445CE2" w:rsidRDefault="00445CE2" w:rsidP="00445CE2">
      <w:pPr>
        <w:shd w:val="clear" w:color="auto" w:fill="FFFFFF"/>
        <w:spacing w:after="0" w:line="360" w:lineRule="auto"/>
        <w:ind w:left="708" w:firstLine="42"/>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2. in personallos betriebenen Kleinstsupermärkten zum Verkauf, zur Wartung, zum Befüllen, zum Reinigen oder ähnlichen regelmäßig anfallenden Tätigkeiten</w:t>
      </w:r>
    </w:p>
    <w:p w14:paraId="0875E3ED"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beschäftigt werden. </w:t>
      </w:r>
      <w:r w:rsidRPr="00445CE2">
        <w:rPr>
          <w:rFonts w:ascii="Arial" w:eastAsia="Times New Roman" w:hAnsi="Arial" w:cs="Arial"/>
          <w:color w:val="222222"/>
          <w:sz w:val="24"/>
          <w:szCs w:val="24"/>
          <w:vertAlign w:val="superscript"/>
          <w:lang w:eastAsia="de-DE"/>
        </w:rPr>
        <w:t>2</w:t>
      </w:r>
      <w:r w:rsidRPr="00445CE2">
        <w:rPr>
          <w:rFonts w:ascii="Arial" w:eastAsia="Times New Roman" w:hAnsi="Arial" w:cs="Arial"/>
          <w:color w:val="222222"/>
          <w:sz w:val="24"/>
          <w:szCs w:val="24"/>
          <w:lang w:eastAsia="de-DE"/>
        </w:rPr>
        <w:t>Sofern die Arbeiten nicht außerhalb der allgemeinen Ladenschlusszeiten vorgenommen werden können, gelten die Ausnahmen des § 10 des Arbeitszeitgesetzes (ArbZG) entsprechend.</w:t>
      </w:r>
    </w:p>
    <w:p w14:paraId="2DB5BB03"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p>
    <w:p w14:paraId="2FD4399B"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(6) </w:t>
      </w:r>
      <w:r w:rsidRPr="00445CE2">
        <w:rPr>
          <w:rFonts w:ascii="Arial" w:eastAsia="Times New Roman" w:hAnsi="Arial" w:cs="Arial"/>
          <w:color w:val="222222"/>
          <w:sz w:val="24"/>
          <w:szCs w:val="24"/>
          <w:vertAlign w:val="superscript"/>
          <w:lang w:eastAsia="de-DE"/>
        </w:rPr>
        <w:t>1</w:t>
      </w:r>
      <w:r w:rsidRPr="00445CE2">
        <w:rPr>
          <w:rFonts w:ascii="Arial" w:eastAsia="Times New Roman" w:hAnsi="Arial" w:cs="Arial"/>
          <w:color w:val="222222"/>
          <w:sz w:val="24"/>
          <w:szCs w:val="24"/>
          <w:lang w:eastAsia="de-DE"/>
        </w:rPr>
        <w:t>Die Inhaber von Verkaufsstellen, in denen in der Regel mindestens ein Arbeitnehmer beschäftigt wird, sind verpflichtet,</w:t>
      </w:r>
    </w:p>
    <w:p w14:paraId="7BB2CF23" w14:textId="77777777" w:rsidR="00445CE2" w:rsidRPr="00445CE2" w:rsidRDefault="00445CE2" w:rsidP="00445CE2">
      <w:pPr>
        <w:shd w:val="clear" w:color="auto" w:fill="FFFFFF"/>
        <w:spacing w:after="0" w:line="360" w:lineRule="auto"/>
        <w:ind w:left="750"/>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1. den Arbeitnehmern den Wortlaut dieses Gesetzes und der aufgrund dieses Gesetzes erlassenen und für die Verkaufsstelle geltenden Rechtsverordnungen durch Aushang, Auslegen zur Einsichtnahme oder über die in der Verkaufsstelle übliche Informations- und Kommunikationstechnik zur Verfügung zu stellen und</w:t>
      </w:r>
    </w:p>
    <w:p w14:paraId="15C17E22" w14:textId="77777777" w:rsidR="00445CE2" w:rsidRPr="00445CE2" w:rsidRDefault="00445CE2" w:rsidP="00445CE2">
      <w:pPr>
        <w:shd w:val="clear" w:color="auto" w:fill="FFFFFF"/>
        <w:spacing w:after="0" w:line="360" w:lineRule="auto"/>
        <w:ind w:left="750"/>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2. Namen, Tag, Beschäftigungsart und -zeiten der an Sonn- und Feiertagen beschäftigten Arbeitnehmer sowie den Ausgleich nach Abs. 2 zu dokumentieren.</w:t>
      </w:r>
    </w:p>
    <w:p w14:paraId="3B10A11D"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r w:rsidRPr="00445CE2">
        <w:rPr>
          <w:rFonts w:ascii="Arial" w:eastAsia="Times New Roman" w:hAnsi="Arial" w:cs="Arial"/>
          <w:color w:val="222222"/>
          <w:sz w:val="24"/>
          <w:szCs w:val="24"/>
          <w:vertAlign w:val="superscript"/>
          <w:lang w:eastAsia="de-DE"/>
        </w:rPr>
        <w:t>2</w:t>
      </w:r>
      <w:r w:rsidRPr="00445CE2">
        <w:rPr>
          <w:rFonts w:ascii="Arial" w:eastAsia="Times New Roman" w:hAnsi="Arial" w:cs="Arial"/>
          <w:color w:val="222222"/>
          <w:sz w:val="24"/>
          <w:szCs w:val="24"/>
          <w:lang w:eastAsia="de-DE"/>
        </w:rPr>
        <w:t>Satz 1 Nr. 2 gilt auch für Gewerbetreibende nach Art. 2 Abs. 3.</w:t>
      </w:r>
    </w:p>
    <w:p w14:paraId="0801A94F"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p>
    <w:p w14:paraId="42C8F206" w14:textId="77777777" w:rsidR="00445CE2" w:rsidRPr="00445CE2" w:rsidRDefault="00445CE2" w:rsidP="00445CE2">
      <w:pPr>
        <w:shd w:val="clear" w:color="auto" w:fill="FFFFFF"/>
        <w:spacing w:after="0" w:line="360" w:lineRule="auto"/>
        <w:rPr>
          <w:rFonts w:ascii="Arial" w:eastAsia="Times New Roman" w:hAnsi="Arial" w:cs="Arial"/>
          <w:color w:val="222222"/>
          <w:sz w:val="24"/>
          <w:szCs w:val="24"/>
          <w:lang w:eastAsia="de-DE"/>
        </w:rPr>
      </w:pPr>
      <w:r w:rsidRPr="00445CE2">
        <w:rPr>
          <w:rFonts w:ascii="Arial" w:eastAsia="Times New Roman" w:hAnsi="Arial" w:cs="Arial"/>
          <w:color w:val="222222"/>
          <w:sz w:val="24"/>
          <w:szCs w:val="24"/>
          <w:lang w:eastAsia="de-DE"/>
        </w:rPr>
        <w:t>(7) Die Abs. 1 bis 6 gelten nicht für pharmazeutisch vorgebildete Arbeitnehmer in Apotheken.</w:t>
      </w:r>
    </w:p>
    <w:p w14:paraId="31F99E1B" w14:textId="77777777" w:rsidR="00445CE2" w:rsidRPr="00445CE2" w:rsidRDefault="00445CE2" w:rsidP="00445CE2">
      <w:pPr>
        <w:spacing w:after="0" w:line="240" w:lineRule="auto"/>
        <w:rPr>
          <w:rFonts w:ascii="Arial" w:eastAsia="Calibri" w:hAnsi="Arial" w:cs="Times New Roman"/>
          <w:sz w:val="24"/>
          <w:szCs w:val="24"/>
        </w:rPr>
      </w:pPr>
    </w:p>
    <w:p w14:paraId="5033480D" w14:textId="77777777" w:rsidR="00445CE2" w:rsidRPr="00445CE2" w:rsidRDefault="00445CE2" w:rsidP="00445CE2">
      <w:pPr>
        <w:spacing w:after="0" w:line="240" w:lineRule="auto"/>
        <w:rPr>
          <w:rFonts w:ascii="Arial" w:eastAsia="Calibri" w:hAnsi="Arial" w:cs="Times New Roman"/>
          <w:sz w:val="24"/>
          <w:szCs w:val="24"/>
        </w:rPr>
      </w:pPr>
    </w:p>
    <w:p w14:paraId="6B00507B" w14:textId="77777777" w:rsidR="00445CE2" w:rsidRPr="00445CE2" w:rsidRDefault="00445CE2">
      <w:pPr>
        <w:spacing w:after="0" w:line="240" w:lineRule="auto"/>
        <w:rPr>
          <w:rFonts w:ascii="Arial" w:eastAsia="Times New Roman" w:hAnsi="Arial" w:cs="Times New Roman"/>
          <w:sz w:val="24"/>
          <w:szCs w:val="24"/>
          <w:lang w:eastAsia="de-DE"/>
        </w:rPr>
      </w:pPr>
    </w:p>
    <w:p w14:paraId="09F84D5C" w14:textId="77777777" w:rsidR="00445CE2" w:rsidRPr="00445CE2" w:rsidRDefault="00445CE2">
      <w:pPr>
        <w:spacing w:after="0" w:line="240" w:lineRule="auto"/>
        <w:rPr>
          <w:rFonts w:ascii="Arial" w:eastAsia="Times New Roman" w:hAnsi="Arial" w:cs="Times New Roman"/>
          <w:sz w:val="24"/>
          <w:szCs w:val="24"/>
          <w:lang w:eastAsia="de-DE"/>
        </w:rPr>
      </w:pPr>
    </w:p>
    <w:sectPr w:rsidR="00445CE2" w:rsidRPr="00445CE2">
      <w:pgSz w:w="11906" w:h="16838"/>
      <w:pgMar w:top="56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D7"/>
    <w:rsid w:val="000D7ED7"/>
    <w:rsid w:val="00445CE2"/>
    <w:rsid w:val="008635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67DB"/>
  <w15:chartTrackingRefBased/>
  <w15:docId w15:val="{A0F21CD1-3E2D-4CB1-A98F-47D29383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 Regensburg</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Reichsthaler, Renate</dc:creator>
  <cp:keywords/>
  <dc:description/>
  <cp:lastModifiedBy>Reichsthaler, Renate</cp:lastModifiedBy>
  <cp:revision>2</cp:revision>
  <cp:lastPrinted>2022-11-21T14:06:00Z</cp:lastPrinted>
  <dcterms:created xsi:type="dcterms:W3CDTF">2025-08-19T13:35:00Z</dcterms:created>
  <dcterms:modified xsi:type="dcterms:W3CDTF">2025-08-19T13:35:00Z</dcterms:modified>
</cp:coreProperties>
</file>